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C55B" w14:textId="77777777" w:rsidR="001E60A1" w:rsidRDefault="001E60A1" w:rsidP="001E60A1">
      <w:pPr>
        <w:spacing w:before="120" w:after="120" w:line="242" w:lineRule="auto"/>
      </w:pPr>
    </w:p>
    <w:p w14:paraId="495A81F9" w14:textId="5592D3BB" w:rsidR="001E60A1" w:rsidRDefault="001E60A1" w:rsidP="00687511">
      <w:pPr>
        <w:spacing w:before="120" w:after="120" w:line="242" w:lineRule="auto"/>
        <w:jc w:val="center"/>
        <w:rPr>
          <w:b/>
          <w:sz w:val="28"/>
          <w:szCs w:val="28"/>
        </w:rPr>
      </w:pPr>
      <w:r w:rsidRPr="001E60A1">
        <w:rPr>
          <w:b/>
          <w:sz w:val="28"/>
          <w:szCs w:val="28"/>
        </w:rPr>
        <w:t>CSHR Equal Opportunit</w:t>
      </w:r>
      <w:r w:rsidR="00222F77">
        <w:rPr>
          <w:b/>
          <w:sz w:val="28"/>
          <w:szCs w:val="28"/>
        </w:rPr>
        <w:t>ies</w:t>
      </w:r>
      <w:r w:rsidRPr="001E60A1">
        <w:rPr>
          <w:b/>
          <w:sz w:val="28"/>
          <w:szCs w:val="28"/>
        </w:rPr>
        <w:t xml:space="preserve"> Monitoring Form</w:t>
      </w:r>
    </w:p>
    <w:p w14:paraId="340BA915" w14:textId="3E625841" w:rsidR="001E60A1" w:rsidRDefault="001E60A1" w:rsidP="001E60A1">
      <w:pPr>
        <w:spacing w:before="120" w:after="120" w:line="242" w:lineRule="auto"/>
        <w:rPr>
          <w:b/>
          <w:sz w:val="28"/>
          <w:szCs w:val="28"/>
        </w:rPr>
      </w:pPr>
    </w:p>
    <w:p w14:paraId="182EAF3F" w14:textId="08341271" w:rsidR="00BB234D" w:rsidRDefault="008F4326" w:rsidP="008F4326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Centre for Sport and Human Rights</w:t>
      </w:r>
      <w:r w:rsidR="00BB234D">
        <w:rPr>
          <w:sz w:val="22"/>
          <w:szCs w:val="22"/>
        </w:rPr>
        <w:t xml:space="preserve"> (CSHR)</w:t>
      </w:r>
      <w:r>
        <w:rPr>
          <w:sz w:val="22"/>
          <w:szCs w:val="22"/>
        </w:rPr>
        <w:t xml:space="preserve"> is</w:t>
      </w:r>
      <w:r w:rsidRPr="008F4326">
        <w:rPr>
          <w:sz w:val="22"/>
          <w:szCs w:val="22"/>
        </w:rPr>
        <w:t xml:space="preserve"> committed to ensuring that all job applicants and members of staff are treated</w:t>
      </w:r>
      <w:r>
        <w:rPr>
          <w:sz w:val="22"/>
          <w:szCs w:val="22"/>
        </w:rPr>
        <w:t xml:space="preserve"> </w:t>
      </w:r>
      <w:r w:rsidRPr="008F4326">
        <w:rPr>
          <w:sz w:val="22"/>
          <w:szCs w:val="22"/>
        </w:rPr>
        <w:t>equally, without discrimination because of gender, sexual orientation, marital or civil partner</w:t>
      </w:r>
      <w:r>
        <w:rPr>
          <w:sz w:val="22"/>
          <w:szCs w:val="22"/>
        </w:rPr>
        <w:t xml:space="preserve"> </w:t>
      </w:r>
      <w:r w:rsidRPr="008F4326">
        <w:rPr>
          <w:sz w:val="22"/>
          <w:szCs w:val="22"/>
        </w:rPr>
        <w:t>status, gender reassignment, race, colour, nationality, ethnic or national origin, religion or</w:t>
      </w:r>
      <w:r>
        <w:rPr>
          <w:sz w:val="22"/>
          <w:szCs w:val="22"/>
        </w:rPr>
        <w:t xml:space="preserve"> </w:t>
      </w:r>
      <w:r w:rsidRPr="008F4326">
        <w:rPr>
          <w:sz w:val="22"/>
          <w:szCs w:val="22"/>
        </w:rPr>
        <w:t xml:space="preserve">belief, disability, social mobility or age. </w:t>
      </w:r>
    </w:p>
    <w:p w14:paraId="6D489CB8" w14:textId="3EA42642" w:rsidR="008F4326" w:rsidRDefault="00BB234D" w:rsidP="008F4326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CSHR is </w:t>
      </w:r>
      <w:r w:rsidRPr="00BB234D">
        <w:rPr>
          <w:sz w:val="22"/>
          <w:szCs w:val="22"/>
        </w:rPr>
        <w:t xml:space="preserve">a UK Charity </w:t>
      </w:r>
      <w:r>
        <w:rPr>
          <w:sz w:val="22"/>
          <w:szCs w:val="22"/>
        </w:rPr>
        <w:t>(</w:t>
      </w:r>
      <w:r w:rsidRPr="00BB234D">
        <w:rPr>
          <w:sz w:val="22"/>
          <w:szCs w:val="22"/>
        </w:rPr>
        <w:t>Registered Charity Number 1187647</w:t>
      </w:r>
      <w:r>
        <w:rPr>
          <w:sz w:val="22"/>
          <w:szCs w:val="22"/>
        </w:rPr>
        <w:t xml:space="preserve">) and as such follows the recommended practices of </w:t>
      </w:r>
      <w:r w:rsidRPr="001E60A1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hyperlink r:id="rId7" w:history="1">
        <w:r w:rsidRPr="00BB234D">
          <w:rPr>
            <w:rStyle w:val="Hyperlink"/>
            <w:sz w:val="22"/>
            <w:szCs w:val="22"/>
          </w:rPr>
          <w:t>UK Equality and Human Rights Commission</w:t>
        </w:r>
      </w:hyperlink>
      <w:r w:rsidRPr="001E60A1">
        <w:rPr>
          <w:sz w:val="22"/>
          <w:szCs w:val="22"/>
        </w:rPr>
        <w:t xml:space="preserve"> </w:t>
      </w:r>
      <w:r>
        <w:rPr>
          <w:sz w:val="22"/>
          <w:szCs w:val="22"/>
        </w:rPr>
        <w:t>regarding t</w:t>
      </w:r>
      <w:r w:rsidR="008F4326" w:rsidRPr="001E60A1">
        <w:rPr>
          <w:sz w:val="22"/>
          <w:szCs w:val="22"/>
        </w:rPr>
        <w:t>he monitoring of applications for the purpose of equal opportunities</w:t>
      </w:r>
      <w:r>
        <w:rPr>
          <w:sz w:val="22"/>
          <w:szCs w:val="22"/>
        </w:rPr>
        <w:t xml:space="preserve">. This is </w:t>
      </w:r>
      <w:r w:rsidR="008F4326" w:rsidRPr="008F4326">
        <w:rPr>
          <w:sz w:val="22"/>
          <w:szCs w:val="22"/>
        </w:rPr>
        <w:t>intended to help us maintain equal</w:t>
      </w:r>
      <w:r w:rsidR="008F4326">
        <w:rPr>
          <w:sz w:val="22"/>
          <w:szCs w:val="22"/>
        </w:rPr>
        <w:t xml:space="preserve"> </w:t>
      </w:r>
      <w:r w:rsidR="008F4326" w:rsidRPr="008F4326">
        <w:rPr>
          <w:sz w:val="22"/>
          <w:szCs w:val="22"/>
        </w:rPr>
        <w:t>opportunities best practice</w:t>
      </w:r>
      <w:r w:rsidR="008F4326">
        <w:rPr>
          <w:sz w:val="22"/>
          <w:szCs w:val="22"/>
        </w:rPr>
        <w:t>s</w:t>
      </w:r>
      <w:r w:rsidR="008F4326" w:rsidRPr="008F4326">
        <w:rPr>
          <w:sz w:val="22"/>
          <w:szCs w:val="22"/>
        </w:rPr>
        <w:t xml:space="preserve"> and identify barriers to workforce equality and diversity</w:t>
      </w:r>
      <w:r>
        <w:rPr>
          <w:sz w:val="22"/>
          <w:szCs w:val="22"/>
        </w:rPr>
        <w:t xml:space="preserve"> and your answers</w:t>
      </w:r>
      <w:r w:rsidR="00222F77">
        <w:rPr>
          <w:sz w:val="22"/>
          <w:szCs w:val="22"/>
        </w:rPr>
        <w:t xml:space="preserve"> </w:t>
      </w:r>
      <w:r w:rsidR="008F4326" w:rsidRPr="001E60A1">
        <w:rPr>
          <w:sz w:val="22"/>
          <w:szCs w:val="22"/>
        </w:rPr>
        <w:t>will assist us greatly in our commitment to diversity and inclusion in our recruitment processes.</w:t>
      </w:r>
      <w:r w:rsidR="008F4326">
        <w:rPr>
          <w:sz w:val="22"/>
          <w:szCs w:val="22"/>
        </w:rPr>
        <w:t xml:space="preserve"> </w:t>
      </w:r>
    </w:p>
    <w:p w14:paraId="2FC6B32D" w14:textId="736B7418" w:rsidR="00222F77" w:rsidRDefault="00222F77" w:rsidP="008F4326">
      <w:pPr>
        <w:spacing w:before="120" w:after="120" w:line="242" w:lineRule="auto"/>
        <w:jc w:val="both"/>
        <w:rPr>
          <w:sz w:val="22"/>
          <w:szCs w:val="22"/>
        </w:rPr>
      </w:pPr>
      <w:r w:rsidRPr="001E60A1">
        <w:rPr>
          <w:sz w:val="22"/>
          <w:szCs w:val="22"/>
        </w:rPr>
        <w:t xml:space="preserve">This form is </w:t>
      </w:r>
      <w:r w:rsidRPr="00E0659E">
        <w:rPr>
          <w:b/>
          <w:sz w:val="22"/>
          <w:szCs w:val="22"/>
        </w:rPr>
        <w:t>optional</w:t>
      </w:r>
      <w:r w:rsidRPr="001E60A1">
        <w:rPr>
          <w:sz w:val="22"/>
          <w:szCs w:val="22"/>
        </w:rPr>
        <w:t xml:space="preserve">. </w:t>
      </w:r>
      <w:r w:rsidRPr="00222F77">
        <w:rPr>
          <w:sz w:val="22"/>
          <w:szCs w:val="22"/>
        </w:rPr>
        <w:t xml:space="preserve">If you </w:t>
      </w:r>
      <w:r>
        <w:rPr>
          <w:sz w:val="22"/>
          <w:szCs w:val="22"/>
        </w:rPr>
        <w:t>agree to complete it</w:t>
      </w:r>
      <w:r w:rsidRPr="00222F77">
        <w:rPr>
          <w:sz w:val="22"/>
          <w:szCs w:val="22"/>
        </w:rPr>
        <w:t xml:space="preserve">, please submit it together with your job application to </w:t>
      </w:r>
      <w:hyperlink r:id="rId8" w:history="1">
        <w:r w:rsidRPr="00222F77">
          <w:rPr>
            <w:rStyle w:val="Hyperlink"/>
            <w:sz w:val="22"/>
            <w:szCs w:val="22"/>
          </w:rPr>
          <w:t>recruitment@sporthumanrights.org</w:t>
        </w:r>
      </w:hyperlink>
      <w:r w:rsidRPr="00222F77">
        <w:rPr>
          <w:sz w:val="22"/>
          <w:szCs w:val="22"/>
        </w:rPr>
        <w:t xml:space="preserve">. Please do not put your name on this form: data collected will be </w:t>
      </w:r>
      <w:r>
        <w:rPr>
          <w:sz w:val="22"/>
          <w:szCs w:val="22"/>
        </w:rPr>
        <w:t xml:space="preserve">separated from your application on receipt, </w:t>
      </w:r>
      <w:r w:rsidRPr="00222F77">
        <w:rPr>
          <w:sz w:val="22"/>
          <w:szCs w:val="22"/>
        </w:rPr>
        <w:t xml:space="preserve">processed and </w:t>
      </w:r>
      <w:r>
        <w:rPr>
          <w:sz w:val="22"/>
          <w:szCs w:val="22"/>
        </w:rPr>
        <w:t>recorded</w:t>
      </w:r>
      <w:r w:rsidRPr="00222F77">
        <w:rPr>
          <w:sz w:val="22"/>
          <w:szCs w:val="22"/>
        </w:rPr>
        <w:t xml:space="preserve"> entirely separately from recruitment and assessment processes. </w:t>
      </w:r>
      <w:r w:rsidRPr="001E60A1">
        <w:rPr>
          <w:sz w:val="22"/>
          <w:szCs w:val="22"/>
        </w:rPr>
        <w:t xml:space="preserve">All information will </w:t>
      </w:r>
      <w:r>
        <w:rPr>
          <w:sz w:val="22"/>
          <w:szCs w:val="22"/>
        </w:rPr>
        <w:t xml:space="preserve">be </w:t>
      </w:r>
      <w:r w:rsidRPr="001E60A1">
        <w:rPr>
          <w:sz w:val="22"/>
          <w:szCs w:val="22"/>
        </w:rPr>
        <w:t>kept strictly confidential.</w:t>
      </w:r>
    </w:p>
    <w:p w14:paraId="5B876A98" w14:textId="75111F62" w:rsidR="001E60A1" w:rsidRDefault="001E60A1" w:rsidP="001E60A1">
      <w:pPr>
        <w:spacing w:before="120" w:after="120" w:line="242" w:lineRule="auto"/>
        <w:jc w:val="both"/>
        <w:rPr>
          <w:sz w:val="22"/>
          <w:szCs w:val="22"/>
        </w:rPr>
      </w:pPr>
    </w:p>
    <w:p w14:paraId="2CEDEE76" w14:textId="6A587300" w:rsidR="001E60A1" w:rsidRPr="00687511" w:rsidRDefault="001E60A1" w:rsidP="001E60A1">
      <w:pPr>
        <w:spacing w:before="120" w:after="120" w:line="242" w:lineRule="auto"/>
        <w:jc w:val="both"/>
        <w:rPr>
          <w:b/>
          <w:sz w:val="22"/>
          <w:szCs w:val="22"/>
          <w:u w:val="single"/>
        </w:rPr>
      </w:pPr>
      <w:r w:rsidRPr="00687511">
        <w:rPr>
          <w:b/>
          <w:sz w:val="22"/>
          <w:szCs w:val="22"/>
          <w:u w:val="single"/>
        </w:rPr>
        <w:t xml:space="preserve">Gender: which of the following best describes your gender identity? </w:t>
      </w:r>
    </w:p>
    <w:p w14:paraId="2B6AB2ED" w14:textId="77777777" w:rsidR="001E60A1" w:rsidRPr="00687511" w:rsidRDefault="001E60A1" w:rsidP="001E60A1">
      <w:pPr>
        <w:spacing w:before="120" w:after="120" w:line="242" w:lineRule="auto"/>
        <w:jc w:val="both"/>
        <w:rPr>
          <w:b/>
          <w:sz w:val="22"/>
          <w:szCs w:val="22"/>
          <w:u w:val="single"/>
        </w:rPr>
        <w:sectPr w:rsidR="001E60A1" w:rsidRPr="00687511" w:rsidSect="0069791A">
          <w:headerReference w:type="default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E40ADA6" w14:textId="4CE18C6A" w:rsidR="001E60A1" w:rsidRDefault="001E60A1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Male </w:t>
      </w:r>
      <w:r w:rsidR="00107369">
        <w:rPr>
          <w:sz w:val="22"/>
          <w:szCs w:val="22"/>
        </w:rPr>
        <w:sym w:font="Wingdings" w:char="F071"/>
      </w:r>
    </w:p>
    <w:p w14:paraId="7631D324" w14:textId="0C08357A" w:rsidR="001E60A1" w:rsidRDefault="001E60A1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Female</w:t>
      </w:r>
      <w:r w:rsidR="00107369">
        <w:rPr>
          <w:sz w:val="22"/>
          <w:szCs w:val="22"/>
        </w:rPr>
        <w:t xml:space="preserve"> </w:t>
      </w:r>
      <w:r w:rsidR="00107369">
        <w:rPr>
          <w:sz w:val="22"/>
          <w:szCs w:val="22"/>
        </w:rPr>
        <w:sym w:font="Wingdings" w:char="F071"/>
      </w:r>
    </w:p>
    <w:p w14:paraId="19F567DA" w14:textId="1A38BBAF" w:rsidR="001E60A1" w:rsidRDefault="001E60A1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Transgender</w:t>
      </w:r>
      <w:r w:rsidR="00107369">
        <w:rPr>
          <w:sz w:val="22"/>
          <w:szCs w:val="22"/>
        </w:rPr>
        <w:t xml:space="preserve"> </w:t>
      </w:r>
      <w:r w:rsidR="00107369">
        <w:rPr>
          <w:sz w:val="22"/>
          <w:szCs w:val="22"/>
        </w:rPr>
        <w:sym w:font="Wingdings" w:char="F071"/>
      </w:r>
    </w:p>
    <w:p w14:paraId="73B1955C" w14:textId="3C3CF8EE" w:rsidR="001E60A1" w:rsidRDefault="001E60A1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Non-binary</w:t>
      </w:r>
      <w:r w:rsidR="00107369">
        <w:rPr>
          <w:sz w:val="22"/>
          <w:szCs w:val="22"/>
        </w:rPr>
        <w:t xml:space="preserve"> </w:t>
      </w:r>
      <w:r w:rsidR="00107369">
        <w:rPr>
          <w:sz w:val="22"/>
          <w:szCs w:val="22"/>
        </w:rPr>
        <w:sym w:font="Wingdings" w:char="F071"/>
      </w:r>
    </w:p>
    <w:p w14:paraId="28DB5915" w14:textId="231451E5" w:rsidR="001E60A1" w:rsidRDefault="001E60A1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Prefer </w:t>
      </w:r>
      <w:r w:rsidR="00107369">
        <w:rPr>
          <w:sz w:val="22"/>
          <w:szCs w:val="22"/>
        </w:rPr>
        <w:t xml:space="preserve">not to say </w:t>
      </w:r>
      <w:r w:rsidR="00107369">
        <w:rPr>
          <w:sz w:val="22"/>
          <w:szCs w:val="22"/>
        </w:rPr>
        <w:sym w:font="Wingdings" w:char="F071"/>
      </w:r>
    </w:p>
    <w:p w14:paraId="4F28A8C1" w14:textId="1B4A4367" w:rsidR="001E60A1" w:rsidRDefault="001E60A1" w:rsidP="001E60A1">
      <w:pPr>
        <w:spacing w:before="120" w:after="120" w:line="242" w:lineRule="auto"/>
        <w:jc w:val="both"/>
        <w:rPr>
          <w:sz w:val="22"/>
          <w:szCs w:val="22"/>
        </w:rPr>
        <w:sectPr w:rsidR="001E60A1" w:rsidSect="001E60A1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 xml:space="preserve">Prefer </w:t>
      </w:r>
      <w:r w:rsidR="00107369">
        <w:rPr>
          <w:sz w:val="22"/>
          <w:szCs w:val="22"/>
        </w:rPr>
        <w:t>to self-describe as:      _______________</w:t>
      </w:r>
    </w:p>
    <w:p w14:paraId="0DD08B78" w14:textId="375EE94B" w:rsidR="001E60A1" w:rsidRDefault="001E60A1" w:rsidP="001E60A1">
      <w:pPr>
        <w:spacing w:before="120" w:after="120" w:line="242" w:lineRule="auto"/>
        <w:jc w:val="both"/>
        <w:rPr>
          <w:sz w:val="22"/>
          <w:szCs w:val="22"/>
        </w:rPr>
      </w:pPr>
    </w:p>
    <w:p w14:paraId="06D3427E" w14:textId="0B088284" w:rsidR="001E60A1" w:rsidRPr="00687511" w:rsidRDefault="001E60A1" w:rsidP="001E60A1">
      <w:pPr>
        <w:spacing w:before="120" w:after="120" w:line="242" w:lineRule="auto"/>
        <w:jc w:val="both"/>
        <w:rPr>
          <w:b/>
          <w:sz w:val="22"/>
          <w:szCs w:val="22"/>
          <w:u w:val="single"/>
        </w:rPr>
      </w:pPr>
      <w:r w:rsidRPr="00687511">
        <w:rPr>
          <w:b/>
          <w:sz w:val="22"/>
          <w:szCs w:val="22"/>
          <w:u w:val="single"/>
        </w:rPr>
        <w:t>Sexual orientation: which of the following best describes your sexual orientation?</w:t>
      </w:r>
    </w:p>
    <w:p w14:paraId="09174D46" w14:textId="77777777" w:rsidR="00107369" w:rsidRPr="00687511" w:rsidRDefault="00107369" w:rsidP="001E60A1">
      <w:pPr>
        <w:spacing w:before="120" w:after="120" w:line="242" w:lineRule="auto"/>
        <w:jc w:val="both"/>
        <w:rPr>
          <w:b/>
          <w:sz w:val="22"/>
          <w:szCs w:val="22"/>
          <w:u w:val="single"/>
        </w:rPr>
        <w:sectPr w:rsidR="00107369" w:rsidRPr="00687511" w:rsidSect="001E60A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083A8FD" w14:textId="548A9D98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Heterosexual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210937F1" w14:textId="1BFAE3BC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Homosexual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50C008EC" w14:textId="19DE8E06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Bisexual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6F9819F6" w14:textId="087399C4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Prefer not to say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2E3996F2" w14:textId="0CE4095C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  <w:sectPr w:rsidR="00107369" w:rsidSect="00107369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>Prefer to self-describe as:</w:t>
      </w:r>
      <w:r w:rsidR="00687511">
        <w:rPr>
          <w:sz w:val="22"/>
          <w:szCs w:val="22"/>
        </w:rPr>
        <w:t xml:space="preserve"> _________________</w:t>
      </w:r>
    </w:p>
    <w:p w14:paraId="73B27806" w14:textId="5DFC2C3A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</w:p>
    <w:p w14:paraId="16B22FF6" w14:textId="3B48D605" w:rsidR="00107369" w:rsidRPr="00687511" w:rsidRDefault="00107369" w:rsidP="001E60A1">
      <w:pPr>
        <w:spacing w:before="120" w:after="120" w:line="242" w:lineRule="auto"/>
        <w:jc w:val="both"/>
        <w:rPr>
          <w:b/>
          <w:sz w:val="22"/>
          <w:szCs w:val="22"/>
          <w:u w:val="single"/>
        </w:rPr>
      </w:pPr>
      <w:r w:rsidRPr="00687511">
        <w:rPr>
          <w:b/>
          <w:sz w:val="22"/>
          <w:szCs w:val="22"/>
          <w:u w:val="single"/>
        </w:rPr>
        <w:t xml:space="preserve">Age: which age range do you fall into? </w:t>
      </w:r>
    </w:p>
    <w:p w14:paraId="7D4D036A" w14:textId="77777777" w:rsidR="00107369" w:rsidRPr="00687511" w:rsidRDefault="00107369" w:rsidP="001E60A1">
      <w:pPr>
        <w:spacing w:before="120" w:after="120" w:line="242" w:lineRule="auto"/>
        <w:jc w:val="both"/>
        <w:rPr>
          <w:b/>
          <w:sz w:val="22"/>
          <w:szCs w:val="22"/>
          <w:u w:val="single"/>
        </w:rPr>
        <w:sectPr w:rsidR="00107369" w:rsidRPr="00687511" w:rsidSect="001E60A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4475B40" w14:textId="586F1FEB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16-24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3622C59A" w14:textId="2C105B30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25-</w:t>
      </w:r>
      <w:r w:rsidR="00392CDF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04691154" w14:textId="04930BAE" w:rsidR="00107369" w:rsidRDefault="00392CDF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="00107369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="00107369">
        <w:rPr>
          <w:sz w:val="22"/>
          <w:szCs w:val="22"/>
        </w:rPr>
        <w:t>4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2B7BF39F" w14:textId="6F30B867" w:rsidR="00107369" w:rsidRDefault="00392CDF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07369">
        <w:rPr>
          <w:sz w:val="22"/>
          <w:szCs w:val="22"/>
        </w:rPr>
        <w:t>5-</w:t>
      </w:r>
      <w:r>
        <w:rPr>
          <w:sz w:val="22"/>
          <w:szCs w:val="22"/>
        </w:rPr>
        <w:t>5</w:t>
      </w:r>
      <w:r w:rsidR="00107369">
        <w:rPr>
          <w:sz w:val="22"/>
          <w:szCs w:val="22"/>
        </w:rPr>
        <w:t>4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148A856B" w14:textId="73E70C60" w:rsidR="00107369" w:rsidRDefault="00392CDF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07369">
        <w:rPr>
          <w:sz w:val="22"/>
          <w:szCs w:val="22"/>
        </w:rPr>
        <w:t>5</w:t>
      </w:r>
      <w:r>
        <w:rPr>
          <w:sz w:val="22"/>
          <w:szCs w:val="22"/>
        </w:rPr>
        <w:t>-64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5FF3BE08" w14:textId="56764B67" w:rsidR="00107369" w:rsidRDefault="00392CDF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65 +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55FCEBEE" w14:textId="77777777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</w:p>
    <w:p w14:paraId="36AA1AD5" w14:textId="03CBD683" w:rsidR="00392CDF" w:rsidRDefault="00392CDF" w:rsidP="001E60A1">
      <w:pPr>
        <w:spacing w:before="120" w:after="120" w:line="242" w:lineRule="auto"/>
        <w:jc w:val="both"/>
        <w:rPr>
          <w:sz w:val="22"/>
          <w:szCs w:val="22"/>
        </w:rPr>
        <w:sectPr w:rsidR="00392CDF" w:rsidSect="00107369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sz w:val="22"/>
          <w:szCs w:val="22"/>
        </w:rPr>
        <w:t xml:space="preserve">Prefer not to say </w:t>
      </w:r>
      <w:r>
        <w:rPr>
          <w:sz w:val="22"/>
          <w:szCs w:val="22"/>
        </w:rPr>
        <w:sym w:font="Wingdings" w:char="F071"/>
      </w:r>
    </w:p>
    <w:p w14:paraId="09597C7D" w14:textId="0E88F19F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</w:p>
    <w:p w14:paraId="0BFB7950" w14:textId="77777777" w:rsidR="00222F77" w:rsidRDefault="00222F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772857F9" w14:textId="77777777" w:rsidR="00222F77" w:rsidRDefault="00222F77" w:rsidP="001E60A1">
      <w:pPr>
        <w:spacing w:before="120" w:after="120" w:line="242" w:lineRule="auto"/>
        <w:jc w:val="both"/>
        <w:rPr>
          <w:b/>
          <w:sz w:val="22"/>
          <w:szCs w:val="22"/>
          <w:u w:val="single"/>
        </w:rPr>
      </w:pPr>
    </w:p>
    <w:p w14:paraId="7FE6AD47" w14:textId="4969B3ED" w:rsidR="00107369" w:rsidRPr="00687511" w:rsidRDefault="00107369" w:rsidP="001E60A1">
      <w:pPr>
        <w:spacing w:before="120" w:after="120" w:line="242" w:lineRule="auto"/>
        <w:jc w:val="both"/>
        <w:rPr>
          <w:b/>
          <w:sz w:val="22"/>
          <w:szCs w:val="22"/>
          <w:u w:val="single"/>
        </w:rPr>
      </w:pPr>
      <w:r w:rsidRPr="00687511">
        <w:rPr>
          <w:b/>
          <w:sz w:val="22"/>
          <w:szCs w:val="22"/>
          <w:u w:val="single"/>
        </w:rPr>
        <w:t xml:space="preserve">Disability: do you consider yourself to </w:t>
      </w:r>
      <w:r w:rsidR="00E0659E">
        <w:rPr>
          <w:b/>
          <w:sz w:val="22"/>
          <w:szCs w:val="22"/>
          <w:u w:val="single"/>
        </w:rPr>
        <w:t>have a disability</w:t>
      </w:r>
      <w:r w:rsidRPr="00687511">
        <w:rPr>
          <w:b/>
          <w:sz w:val="22"/>
          <w:szCs w:val="22"/>
          <w:u w:val="single"/>
        </w:rPr>
        <w:t>?</w:t>
      </w:r>
    </w:p>
    <w:p w14:paraId="62DB7900" w14:textId="229A0841" w:rsidR="00687511" w:rsidRDefault="00687511" w:rsidP="00687511">
      <w:pPr>
        <w:spacing w:before="120" w:after="120" w:line="242" w:lineRule="auto"/>
        <w:ind w:right="515"/>
        <w:jc w:val="both"/>
        <w:rPr>
          <w:i/>
          <w:sz w:val="20"/>
          <w:szCs w:val="20"/>
        </w:rPr>
      </w:pPr>
      <w:r w:rsidRPr="00107369">
        <w:rPr>
          <w:i/>
          <w:sz w:val="20"/>
          <w:szCs w:val="20"/>
        </w:rPr>
        <w:t xml:space="preserve">Note: under the </w:t>
      </w:r>
      <w:r w:rsidR="00E0659E">
        <w:rPr>
          <w:i/>
          <w:sz w:val="20"/>
          <w:szCs w:val="20"/>
        </w:rPr>
        <w:t xml:space="preserve">UK </w:t>
      </w:r>
      <w:r w:rsidRPr="00107369">
        <w:rPr>
          <w:i/>
          <w:sz w:val="20"/>
          <w:szCs w:val="20"/>
        </w:rPr>
        <w:t>Disability Discrimination Act, a disability is defined as ‘a physical or mental impairment that has a substantial and long-term adverse impact on the ability to carry out normal day-to-day activities.’</w:t>
      </w:r>
    </w:p>
    <w:p w14:paraId="0506E027" w14:textId="79AD140A" w:rsidR="00687511" w:rsidRDefault="00687511" w:rsidP="001E60A1">
      <w:pPr>
        <w:spacing w:before="120" w:after="120" w:line="242" w:lineRule="auto"/>
        <w:jc w:val="both"/>
        <w:rPr>
          <w:sz w:val="22"/>
          <w:szCs w:val="22"/>
        </w:rPr>
        <w:sectPr w:rsidR="00687511" w:rsidSect="001E60A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46222F8" w14:textId="3BA28480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Yes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2CD97AD7" w14:textId="007BECF9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No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106AEFF5" w14:textId="59B25861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Prefer not to say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48D26379" w14:textId="05D5E489" w:rsidR="00107369" w:rsidRDefault="00107369" w:rsidP="001E60A1">
      <w:pPr>
        <w:spacing w:before="120" w:after="12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Prefer to self-describe as:</w:t>
      </w:r>
      <w:r w:rsidR="00687511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 xml:space="preserve"> </w:t>
      </w:r>
    </w:p>
    <w:p w14:paraId="5AF2092F" w14:textId="77777777" w:rsidR="00107369" w:rsidRDefault="00107369" w:rsidP="00107369">
      <w:pPr>
        <w:spacing w:before="120" w:after="120" w:line="242" w:lineRule="auto"/>
        <w:ind w:left="567" w:right="515"/>
        <w:jc w:val="both"/>
        <w:rPr>
          <w:i/>
          <w:sz w:val="20"/>
          <w:szCs w:val="20"/>
        </w:rPr>
        <w:sectPr w:rsidR="00107369" w:rsidSect="00107369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B4EF85" w14:textId="308B6E4E" w:rsidR="00687511" w:rsidRDefault="00687511" w:rsidP="00222F77">
      <w:pPr>
        <w:rPr>
          <w:b/>
          <w:sz w:val="22"/>
          <w:szCs w:val="22"/>
          <w:u w:val="single"/>
        </w:rPr>
      </w:pPr>
    </w:p>
    <w:p w14:paraId="066176E5" w14:textId="5DDD5FE6" w:rsidR="00107369" w:rsidRPr="00687511" w:rsidRDefault="00107369" w:rsidP="00107369">
      <w:pPr>
        <w:spacing w:before="120" w:after="120" w:line="242" w:lineRule="auto"/>
        <w:ind w:right="515"/>
        <w:jc w:val="both"/>
        <w:rPr>
          <w:b/>
          <w:sz w:val="22"/>
          <w:szCs w:val="22"/>
          <w:u w:val="single"/>
        </w:rPr>
      </w:pPr>
      <w:r w:rsidRPr="00687511">
        <w:rPr>
          <w:b/>
          <w:sz w:val="22"/>
          <w:szCs w:val="22"/>
          <w:u w:val="single"/>
        </w:rPr>
        <w:t>Ethnicity: what is your ethnic group?</w:t>
      </w:r>
    </w:p>
    <w:p w14:paraId="6B8868C6" w14:textId="77777777" w:rsidR="00107369" w:rsidRPr="00687511" w:rsidRDefault="00107369" w:rsidP="00107369">
      <w:pPr>
        <w:spacing w:before="120" w:after="120" w:line="242" w:lineRule="auto"/>
        <w:ind w:right="515"/>
        <w:jc w:val="both"/>
        <w:rPr>
          <w:b/>
          <w:sz w:val="22"/>
          <w:szCs w:val="22"/>
          <w:u w:val="single"/>
        </w:rPr>
        <w:sectPr w:rsidR="00107369" w:rsidRPr="00687511" w:rsidSect="00107369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E5FA50D" w14:textId="448A31DA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Arab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1DB69A4C" w14:textId="1FEC4D00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Asian or Asian British: Indian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79D6C1EF" w14:textId="49819810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Asian or Asian British: Pakistani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5A796AC8" w14:textId="7D52E6BC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Asian or Asian British: Bangladeshi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5533B5E9" w14:textId="4A170B86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Asian or Asian British: Chinese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54EE234C" w14:textId="3B407468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Asian or Asian British: Other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2C062716" w14:textId="52D91BF4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Black or Black British: African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45F9A2F6" w14:textId="4B81BD60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Black or Black British: Caribbean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0D994483" w14:textId="1156066F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Black or Black British: Other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009BF038" w14:textId="6A474BAD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Mixed: White and Black Caribbean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0D75B303" w14:textId="43DFF843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Mixed: White and Black African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7761302F" w14:textId="0772E843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Mixed: White and Asian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0D3DAAAB" w14:textId="243E0D8F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Mixed: Other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477A2B9E" w14:textId="1847B1E1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White: British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7FA9E2FD" w14:textId="6AE21220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White: Irish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42917457" w14:textId="53C66C40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White: Other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4DA67BE6" w14:textId="2C415326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  <w:r w:rsidRPr="00107369">
        <w:rPr>
          <w:sz w:val="22"/>
          <w:szCs w:val="22"/>
        </w:rPr>
        <w:t>Prefer not to say</w:t>
      </w:r>
      <w:r w:rsidR="00687511">
        <w:rPr>
          <w:sz w:val="22"/>
          <w:szCs w:val="22"/>
        </w:rPr>
        <w:t xml:space="preserve"> </w:t>
      </w:r>
      <w:r w:rsidR="00687511">
        <w:rPr>
          <w:sz w:val="22"/>
          <w:szCs w:val="22"/>
        </w:rPr>
        <w:sym w:font="Wingdings" w:char="F071"/>
      </w:r>
    </w:p>
    <w:p w14:paraId="06F11113" w14:textId="00804329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  <w:sectPr w:rsidR="00107369" w:rsidRPr="00107369" w:rsidSect="00107369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107369">
        <w:rPr>
          <w:sz w:val="22"/>
          <w:szCs w:val="22"/>
        </w:rPr>
        <w:t>Prefer to self-describe</w:t>
      </w:r>
      <w:r w:rsidR="00687511">
        <w:rPr>
          <w:sz w:val="22"/>
          <w:szCs w:val="22"/>
        </w:rPr>
        <w:t xml:space="preserve"> as: ____________</w:t>
      </w:r>
    </w:p>
    <w:p w14:paraId="41A95BD3" w14:textId="5BC9DEE3" w:rsid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</w:p>
    <w:p w14:paraId="6A78954F" w14:textId="77777777" w:rsidR="00E0659E" w:rsidRPr="00107369" w:rsidRDefault="00E0659E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</w:p>
    <w:p w14:paraId="43116695" w14:textId="77777777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</w:p>
    <w:p w14:paraId="010D9921" w14:textId="77777777" w:rsidR="00107369" w:rsidRPr="00107369" w:rsidRDefault="00107369" w:rsidP="00107369">
      <w:pPr>
        <w:spacing w:before="120" w:after="120" w:line="242" w:lineRule="auto"/>
        <w:ind w:right="515"/>
        <w:jc w:val="both"/>
        <w:rPr>
          <w:sz w:val="22"/>
          <w:szCs w:val="22"/>
        </w:rPr>
      </w:pPr>
    </w:p>
    <w:sectPr w:rsidR="00107369" w:rsidRPr="00107369" w:rsidSect="0010736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927D" w14:textId="77777777" w:rsidR="00CA35B0" w:rsidRDefault="00CA35B0" w:rsidP="001E60A1">
      <w:r>
        <w:separator/>
      </w:r>
    </w:p>
  </w:endnote>
  <w:endnote w:type="continuationSeparator" w:id="0">
    <w:p w14:paraId="7247557E" w14:textId="77777777" w:rsidR="00CA35B0" w:rsidRDefault="00CA35B0" w:rsidP="001E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8F11" w14:textId="2FF1BD7F" w:rsidR="00687511" w:rsidRPr="00687511" w:rsidRDefault="00687511" w:rsidP="00687511">
    <w:pPr>
      <w:pStyle w:val="Footer"/>
      <w:jc w:val="right"/>
      <w:rPr>
        <w:sz w:val="18"/>
        <w:szCs w:val="18"/>
      </w:rPr>
    </w:pPr>
    <w:r w:rsidRPr="00687511">
      <w:rPr>
        <w:sz w:val="18"/>
        <w:szCs w:val="18"/>
      </w:rPr>
      <w:t>CSHR Equality and Diversity Monitoring Form – July 202</w:t>
    </w:r>
    <w:r w:rsidR="00F65508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29A1" w14:textId="77777777" w:rsidR="00CA35B0" w:rsidRDefault="00CA35B0" w:rsidP="001E60A1">
      <w:r>
        <w:separator/>
      </w:r>
    </w:p>
  </w:footnote>
  <w:footnote w:type="continuationSeparator" w:id="0">
    <w:p w14:paraId="35F73029" w14:textId="77777777" w:rsidR="00CA35B0" w:rsidRDefault="00CA35B0" w:rsidP="001E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589C" w14:textId="314461A3" w:rsidR="001E60A1" w:rsidRDefault="00F65508" w:rsidP="001E60A1">
    <w:pPr>
      <w:pStyle w:val="Header"/>
      <w:jc w:val="right"/>
    </w:pPr>
    <w:r>
      <w:rPr>
        <w:noProof/>
      </w:rPr>
      <w:drawing>
        <wp:inline distT="0" distB="0" distL="0" distR="0" wp14:anchorId="27628840" wp14:editId="7B6B550B">
          <wp:extent cx="2650382" cy="946146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UR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53" cy="9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1"/>
    <w:rsid w:val="0001220D"/>
    <w:rsid w:val="00107369"/>
    <w:rsid w:val="001E60A1"/>
    <w:rsid w:val="00222F77"/>
    <w:rsid w:val="00245E62"/>
    <w:rsid w:val="002A4C1E"/>
    <w:rsid w:val="00361950"/>
    <w:rsid w:val="00392CDF"/>
    <w:rsid w:val="005172F7"/>
    <w:rsid w:val="00687511"/>
    <w:rsid w:val="0069791A"/>
    <w:rsid w:val="00767F3C"/>
    <w:rsid w:val="007A22AB"/>
    <w:rsid w:val="008E08E2"/>
    <w:rsid w:val="008F4326"/>
    <w:rsid w:val="00AD2E1C"/>
    <w:rsid w:val="00B109EF"/>
    <w:rsid w:val="00BB234D"/>
    <w:rsid w:val="00C318BB"/>
    <w:rsid w:val="00CA35B0"/>
    <w:rsid w:val="00E0659E"/>
    <w:rsid w:val="00E9714B"/>
    <w:rsid w:val="00F332A5"/>
    <w:rsid w:val="00F65508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49C1"/>
  <w15:chartTrackingRefBased/>
  <w15:docId w15:val="{71AE6C84-10EC-6246-AFAF-2A59979C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0A1"/>
  </w:style>
  <w:style w:type="paragraph" w:styleId="Footer">
    <w:name w:val="footer"/>
    <w:basedOn w:val="Normal"/>
    <w:link w:val="FooterChar"/>
    <w:uiPriority w:val="99"/>
    <w:unhideWhenUsed/>
    <w:rsid w:val="001E6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0A1"/>
  </w:style>
  <w:style w:type="character" w:styleId="Hyperlink">
    <w:name w:val="Hyperlink"/>
    <w:basedOn w:val="DefaultParagraphFont"/>
    <w:uiPriority w:val="99"/>
    <w:unhideWhenUsed/>
    <w:rsid w:val="00E06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5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3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porthumanrigh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qualityhumanrights.com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58D6E0-48E6-A54E-BC7B-7DC2AABB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Jane Walley</cp:lastModifiedBy>
  <cp:revision>2</cp:revision>
  <dcterms:created xsi:type="dcterms:W3CDTF">2021-08-03T11:27:00Z</dcterms:created>
  <dcterms:modified xsi:type="dcterms:W3CDTF">2021-08-03T11:27:00Z</dcterms:modified>
</cp:coreProperties>
</file>